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Cover Letter:</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Dear [City Clerk/Mayor/City Manager Name],</w:t>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On behalf of the Florida Redevelopment Association (FRA) and the [Name of CRA/City/County], I am pleased to request that the [City/County Name] adopt a proclamation recognizing </w:t>
      </w:r>
      <w:r w:rsidDel="00000000" w:rsidR="00000000" w:rsidRPr="00000000">
        <w:rPr>
          <w:rFonts w:ascii="Arial" w:cs="Arial" w:eastAsia="Arial" w:hAnsi="Arial"/>
          <w:b w:val="1"/>
          <w:bCs w:val="1"/>
          <w:sz w:val="20"/>
          <w:szCs w:val="20"/>
          <w:rtl w:val="0"/>
        </w:rPr>
        <w:t xml:space="preserve">Florida Redevelopment Week</w:t>
      </w:r>
      <w:r w:rsidDel="00000000" w:rsidR="00000000" w:rsidRPr="00000000">
        <w:rPr>
          <w:rFonts w:ascii="Arial" w:cs="Arial" w:eastAsia="Arial" w:hAnsi="Arial"/>
          <w:sz w:val="20"/>
          <w:szCs w:val="20"/>
          <w:rtl w:val="0"/>
        </w:rPr>
        <w:t xml:space="preserve">, to be observed September 14 -18, 2026.</w:t>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Community Redevelopment Agencies and local redevelopment programs play a critical role in strengthening Florida’s neighborhoods, downtowns, and commercial corridors. Through public and private investment, redevelopment initiatives help eliminate slum and blight, improve infrastructure, support small businesses, expand housing opportunities, and enhance the overall quality of life for residents and visitors.</w: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Florida Redevelopment Week is a statewide initiative led by the Florida Redevelopment Association to highlight the successes and importance of community redevelopment efforts. The observance will provide an opportunity for local governments to showcase redevelopment projects, recognize community partners, and engage residents in understanding how redevelopment programs benefit the community.</w:t>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Attached is a draft proclamation for your consideration. We respectfully request that this proclamation be placed on an upcoming [City Commission/County Commission] agenda for adoption. If approved, we will share the proclamation through FRA’s statewide communications and encourage recognition of the [City/County Name]’s commitment to community revitalization.</w:t>
      </w:r>
    </w:p>
    <w:p w:rsidR="00000000" w:rsidDel="00000000" w:rsidP="00000000" w:rsidRDefault="00000000" w:rsidRPr="00000000" w14:paraId="00000009">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let me know if you need any additional information or modifications to the draft language. We appreciate your support in recognizing the importance of redevelopment in our community.</w:t>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Sincerely,</w:t>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br w:type="textWrapping"/>
        <w:t xml:space="preserve">[Title]</w:t>
        <w:br w:type="textWrapping"/>
        <w:t xml:space="preserve">[Organization / CRA / City or County Name]</w:t>
        <w:br w:type="textWrapping"/>
        <w:t xml:space="preserve">[Phone Number]</w:t>
        <w:br w:type="textWrapping"/>
        <w:t xml:space="preserve">[Email Address]</w:t>
      </w:r>
    </w:p>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SAMPLE PROCLAMATION</w:t>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Florida Redevelopment Week</w:t>
      </w: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WHEREAS</w:t>
      </w:r>
      <w:r w:rsidDel="00000000" w:rsidR="00000000" w:rsidRPr="00000000">
        <w:rPr>
          <w:rFonts w:ascii="Arial" w:cs="Arial" w:eastAsia="Arial" w:hAnsi="Arial"/>
          <w:sz w:val="20"/>
          <w:szCs w:val="20"/>
          <w:rtl w:val="0"/>
        </w:rPr>
        <w:t xml:space="preserve">, Community Redevelopment Agencies (CRAs) and redevelopment programs </w:t>
      </w:r>
      <w:r w:rsidDel="00000000" w:rsidR="00000000" w:rsidRPr="00000000">
        <w:rPr>
          <w:rFonts w:ascii="Arial" w:cs="Arial" w:eastAsia="Arial" w:hAnsi="Arial"/>
          <w:sz w:val="20"/>
          <w:szCs w:val="20"/>
          <w:rtl w:val="0"/>
        </w:rPr>
        <w:t xml:space="preserve">play a vital role play a vital role in revitalizing neighborhoods, addressing areas of slum and blight, strengthening local economies, revitalizing downtowns, and improving the quality of life for residents and businesses throughout the State of Florida; and</w:t>
      </w:r>
      <w:r w:rsidDel="00000000" w:rsidR="00000000" w:rsidRPr="00000000">
        <w:rPr>
          <w:rtl w:val="0"/>
        </w:rPr>
      </w:r>
    </w:p>
    <w:p w:rsidR="00000000" w:rsidDel="00000000" w:rsidP="00000000" w:rsidRDefault="00000000" w:rsidRPr="00000000" w14:paraId="0000001C">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WHEREAS</w:t>
      </w:r>
      <w:r w:rsidDel="00000000" w:rsidR="00000000" w:rsidRPr="00000000">
        <w:rPr>
          <w:rFonts w:ascii="Arial" w:cs="Arial" w:eastAsia="Arial" w:hAnsi="Arial"/>
          <w:sz w:val="20"/>
          <w:szCs w:val="20"/>
          <w:rtl w:val="0"/>
        </w:rPr>
        <w:t xml:space="preserve">, redevelopment initiatives encourage private investment, support small businesses, </w:t>
      </w:r>
      <w:r w:rsidDel="00000000" w:rsidR="00000000" w:rsidRPr="00000000">
        <w:rPr>
          <w:rFonts w:ascii="Arial" w:cs="Arial" w:eastAsia="Arial" w:hAnsi="Arial"/>
          <w:sz w:val="20"/>
          <w:szCs w:val="20"/>
          <w:rtl w:val="0"/>
        </w:rPr>
        <w:t xml:space="preserve">improve infrastructure, enhance public spaces, and expand housing opportunities,</w:t>
      </w:r>
      <w:r w:rsidDel="00000000" w:rsidR="00000000" w:rsidRPr="00000000">
        <w:rPr>
          <w:rFonts w:ascii="Arial" w:cs="Arial" w:eastAsia="Arial" w:hAnsi="Arial"/>
          <w:sz w:val="20"/>
          <w:szCs w:val="20"/>
          <w:rtl w:val="0"/>
        </w:rPr>
        <w:t xml:space="preserve"> thereby fostering vibrant, resilient, and equitable communities; and</w:t>
      </w:r>
    </w:p>
    <w:p w:rsidR="00000000" w:rsidDel="00000000" w:rsidP="00000000" w:rsidRDefault="00000000" w:rsidRPr="00000000" w14:paraId="0000001D">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WHEREAS</w:t>
      </w:r>
      <w:r w:rsidDel="00000000" w:rsidR="00000000" w:rsidRPr="00000000">
        <w:rPr>
          <w:rFonts w:ascii="Arial" w:cs="Arial" w:eastAsia="Arial" w:hAnsi="Arial"/>
          <w:sz w:val="20"/>
          <w:szCs w:val="20"/>
          <w:rtl w:val="0"/>
        </w:rPr>
        <w:t xml:space="preserve">, the Florida Redevelopment Association (FRA), in partnership with municipalities, counties, and community stakeholders, promotes best practices, professional education, and collaboration to advance community redevelopment efforts throughout Florida; and</w:t>
      </w:r>
    </w:p>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WHEREAS.</w:t>
      </w:r>
      <w:r w:rsidDel="00000000" w:rsidR="00000000" w:rsidRPr="00000000">
        <w:rPr>
          <w:rFonts w:ascii="Arial" w:cs="Arial" w:eastAsia="Arial" w:hAnsi="Arial"/>
          <w:sz w:val="20"/>
          <w:szCs w:val="20"/>
          <w:rtl w:val="0"/>
        </w:rPr>
        <w:t xml:space="preserve"> Florida Redevelopment Week serves as an opportunity to recognize redevelopment achievements, highlight transformational projects, engage residents and stakeholders, and celebrate the economic, social, and cultural benefits of community revitalization; and</w:t>
      </w:r>
    </w:p>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WHEREAS</w:t>
      </w:r>
      <w:r w:rsidDel="00000000" w:rsidR="00000000" w:rsidRPr="00000000">
        <w:rPr>
          <w:rFonts w:ascii="Arial" w:cs="Arial" w:eastAsia="Arial" w:hAnsi="Arial"/>
          <w:sz w:val="20"/>
          <w:szCs w:val="20"/>
          <w:rtl w:val="0"/>
        </w:rPr>
        <w:t xml:space="preserve">, the observance of Florida Redevelopment Week will raise awareness of the importance of community redevelopment and inspire continued public and private investment in Florida's neighborhoods, downtowns and commercial corridors; in Florida’s neighborhoods, downtowns, and commercial corridors;</w:t>
      </w:r>
    </w:p>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NOW, THEREFORE, I, [Mayor/Chair/Governor/Commissioner Name], [Title], of the [Agency/City/County/State of Florida], do hereby proclaim [Month] [Day] through [Month] [Day], [Year], as</w:t>
      </w: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FLORIDA REDEVELOPMENT WEEK</w:t>
      </w:r>
    </w:p>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in the [City/County/State of Florida], and encourage all residents, businesses, community organizations, and public officials to recognize and celebrate the contributions of community redevelopment programs and to participate in activities highlighting the importance of revitalization efforts across our communities.</w:t>
      </w:r>
    </w:p>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IN WITNESS WHEREOF</w:t>
      </w:r>
      <w:r w:rsidDel="00000000" w:rsidR="00000000" w:rsidRPr="00000000">
        <w:rPr>
          <w:rFonts w:ascii="Arial" w:cs="Arial" w:eastAsia="Arial" w:hAnsi="Arial"/>
          <w:sz w:val="20"/>
          <w:szCs w:val="20"/>
          <w:rtl w:val="0"/>
        </w:rPr>
        <w:t xml:space="preserve">, I have hereunto set my hand and caused the Seal of the [City/County/State] to be affixed this [Day] of [Month], [Year].</w:t>
      </w:r>
    </w:p>
    <w:p w:rsidR="00000000" w:rsidDel="00000000" w:rsidP="00000000" w:rsidRDefault="00000000" w:rsidRPr="00000000" w14:paraId="00000025">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__________________________________</w:t>
      </w:r>
      <w:r w:rsidDel="00000000" w:rsidR="00000000" w:rsidRPr="00000000">
        <w:rPr>
          <w:rFonts w:ascii="Arial" w:cs="Arial" w:eastAsia="Arial" w:hAnsi="Arial"/>
          <w:sz w:val="20"/>
          <w:szCs w:val="20"/>
          <w:rtl w:val="0"/>
        </w:rPr>
        <w:br w:type="textWrapping"/>
        <w:t xml:space="preserve">[Name]</w:t>
        <w:br w:type="textWrapping"/>
        <w:t xml:space="preserve">[Title]</w:t>
      </w:r>
    </w:p>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ATTEST:</w:t>
      </w: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__________________________________</w:t>
      </w:r>
      <w:r w:rsidDel="00000000" w:rsidR="00000000" w:rsidRPr="00000000">
        <w:rPr>
          <w:rFonts w:ascii="Arial" w:cs="Arial" w:eastAsia="Arial" w:hAnsi="Arial"/>
          <w:sz w:val="20"/>
          <w:szCs w:val="20"/>
          <w:rtl w:val="0"/>
        </w:rPr>
        <w:br w:type="textWrapping"/>
        <w:t xml:space="preserve">[Clerk/Secretary Name and Title]</w:t>
      </w:r>
    </w:p>
    <w:p w:rsidR="00000000" w:rsidDel="00000000" w:rsidP="00000000" w:rsidRDefault="00000000" w:rsidRPr="00000000" w14:paraId="00000029">
      <w:pPr>
        <w:rPr>
          <w:rFonts w:ascii="Arial" w:cs="Arial" w:eastAsia="Arial" w:hAnsi="Arial"/>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C">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E">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Optional Add-On Language (If You Want More Policy Emphasis)</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You can offer this as an optional paragraph for jurisdictions that want stronger advocacy language:</w:t>
      </w:r>
    </w:p>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WHEREAS, redevelopment programs authorized under Chapter 163, Florida Statutes, provide essential tools for local governments to address infrastructure deficiencies, promote economic development, and support affordable housing and public improvements in designated areas of need</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pSjLhqefqLVbNctbesK43s91aw==">CgMxLjA4AHIhMU84Rjg4TVFHNGZDcWZ0NDViOHJ0ZzBiM1VNV0o5NzBF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0x01010057EA5513A1E33D418C0C619B33AD9883</vt:lpwstr>
  </property>
</Properties>
</file>